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Source Sans Pro" w:cs="Source Sans Pro" w:eastAsia="Source Sans Pro" w:hAnsi="Source Sans Pro"/>
          <w:b w:val="1"/>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Gebruikersovereenkomst Open Vlacc Titelbeschrijvingen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Source Sans Pro" w:cs="Source Sans Pro" w:eastAsia="Source Sans Pro" w:hAnsi="Source Sans Pro"/>
          <w:b w:val="1"/>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voor Open Vlacc abonnees</w:t>
      </w:r>
    </w:p>
    <w:p w:rsidR="00000000" w:rsidDel="00000000" w:rsidP="00000000" w:rsidRDefault="00000000" w:rsidRPr="00000000">
      <w:pPr>
        <w:tabs>
          <w:tab w:val="left" w:pos="360"/>
        </w:tabs>
        <w:contextualSpacing w:val="0"/>
        <w:rPr>
          <w:b w:val="1"/>
          <w:sz w:val="20"/>
          <w:szCs w:val="20"/>
        </w:rPr>
      </w:pPr>
      <w:r w:rsidDel="00000000" w:rsidR="00000000" w:rsidRPr="00000000">
        <w:rPr>
          <w:rtl w:val="0"/>
        </w:rPr>
      </w:r>
    </w:p>
    <w:p w:rsidR="00000000" w:rsidDel="00000000" w:rsidP="00000000" w:rsidRDefault="00000000" w:rsidRPr="00000000">
      <w:pPr>
        <w:tabs>
          <w:tab w:val="left" w:pos="360"/>
        </w:tabs>
        <w:contextualSpacing w:val="0"/>
        <w:rPr>
          <w:sz w:val="20"/>
          <w:szCs w:val="20"/>
        </w:rPr>
      </w:pPr>
      <w:r w:rsidDel="00000000" w:rsidR="00000000" w:rsidRPr="00000000">
        <w:rPr>
          <w:sz w:val="20"/>
          <w:szCs w:val="20"/>
          <w:rtl w:val="0"/>
        </w:rPr>
        <w:t xml:space="preserve">Voor de toepassing van deze overeenkomst gelden de volgende definities:</w:t>
      </w:r>
    </w:p>
    <w:p w:rsidR="00000000" w:rsidDel="00000000" w:rsidP="00000000" w:rsidRDefault="00000000" w:rsidRPr="00000000">
      <w:pPr>
        <w:numPr>
          <w:ilvl w:val="0"/>
          <w:numId w:val="1"/>
        </w:numPr>
        <w:tabs>
          <w:tab w:val="left" w:pos="360"/>
        </w:tabs>
        <w:ind w:left="283" w:hanging="283"/>
        <w:contextualSpacing w:val="0"/>
        <w:rPr>
          <w:sz w:val="20"/>
          <w:szCs w:val="20"/>
        </w:rPr>
      </w:pPr>
      <w:r w:rsidDel="00000000" w:rsidR="00000000" w:rsidRPr="00000000">
        <w:rPr>
          <w:sz w:val="20"/>
          <w:szCs w:val="20"/>
          <w:rtl w:val="0"/>
        </w:rPr>
        <w:t xml:space="preserve">‘</w:t>
      </w:r>
      <w:r w:rsidDel="00000000" w:rsidR="00000000" w:rsidRPr="00000000">
        <w:rPr>
          <w:sz w:val="20"/>
          <w:szCs w:val="20"/>
          <w:u w:val="single"/>
          <w:rtl w:val="0"/>
        </w:rPr>
        <w:t xml:space="preserve">Titelbeschrijvingen</w:t>
      </w:r>
      <w:r w:rsidDel="00000000" w:rsidR="00000000" w:rsidRPr="00000000">
        <w:rPr>
          <w:sz w:val="20"/>
          <w:szCs w:val="20"/>
          <w:rtl w:val="0"/>
        </w:rPr>
        <w:t xml:space="preserve">’: bibliografische beschrijvingen en de daarvoor relevante ingangen in referentiebestanden, opgesteld volgens formele regelwerken.  Metadata en extra ontsluiting die in functie van raadpleging worden gekoppeld aan de titelbeschrijvingen maken geen deel uit van de Titelbeschrijvingen.</w:t>
      </w:r>
    </w:p>
    <w:p w:rsidR="00000000" w:rsidDel="00000000" w:rsidP="00000000" w:rsidRDefault="00000000" w:rsidRPr="00000000">
      <w:pPr>
        <w:numPr>
          <w:ilvl w:val="0"/>
          <w:numId w:val="1"/>
        </w:numPr>
        <w:tabs>
          <w:tab w:val="left" w:pos="360"/>
        </w:tabs>
        <w:ind w:left="283" w:hanging="283"/>
        <w:contextualSpacing w:val="0"/>
        <w:rPr>
          <w:sz w:val="20"/>
          <w:szCs w:val="20"/>
        </w:rPr>
      </w:pPr>
      <w:r w:rsidDel="00000000" w:rsidR="00000000" w:rsidRPr="00000000">
        <w:rPr>
          <w:sz w:val="20"/>
          <w:szCs w:val="20"/>
          <w:u w:val="single"/>
          <w:rtl w:val="0"/>
        </w:rPr>
        <w:t xml:space="preserve">‘Open Vlacc databank’</w:t>
      </w:r>
      <w:r w:rsidDel="00000000" w:rsidR="00000000" w:rsidRPr="00000000">
        <w:rPr>
          <w:sz w:val="20"/>
          <w:szCs w:val="20"/>
          <w:rtl w:val="0"/>
        </w:rPr>
        <w:t xml:space="preserve"> : het integrale bestand van Titelbeschrijvingen zoals uitgebouwd in het kader van Open Vlacc en volgens de Vlaamse regelgeving.</w:t>
      </w:r>
    </w:p>
    <w:p w:rsidR="00000000" w:rsidDel="00000000" w:rsidP="00000000" w:rsidRDefault="00000000" w:rsidRPr="00000000">
      <w:pPr>
        <w:numPr>
          <w:ilvl w:val="0"/>
          <w:numId w:val="1"/>
        </w:numPr>
        <w:tabs>
          <w:tab w:val="left" w:pos="360"/>
        </w:tabs>
        <w:ind w:left="283" w:hanging="283"/>
        <w:contextualSpacing w:val="0"/>
        <w:rPr>
          <w:sz w:val="20"/>
          <w:szCs w:val="20"/>
        </w:rPr>
      </w:pPr>
      <w:r w:rsidDel="00000000" w:rsidR="00000000" w:rsidRPr="00000000">
        <w:rPr>
          <w:sz w:val="20"/>
          <w:szCs w:val="20"/>
          <w:u w:val="single"/>
          <w:rtl w:val="0"/>
        </w:rPr>
        <w:t xml:space="preserve">‘Vlaamse regelgeving’</w:t>
      </w:r>
      <w:r w:rsidDel="00000000" w:rsidR="00000000" w:rsidRPr="00000000">
        <w:rPr>
          <w:sz w:val="20"/>
          <w:szCs w:val="20"/>
          <w:rtl w:val="0"/>
        </w:rPr>
        <w:t xml:space="preserve">: de regelgeving voor bibliografische beschrijvingen en referentiebestanden zoals vastgelegd door de invoerende bibliotheken onder eindredactie en coördinatie van Cultuurconnect.</w:t>
      </w:r>
    </w:p>
    <w:p w:rsidR="00000000" w:rsidDel="00000000" w:rsidP="00000000" w:rsidRDefault="00000000" w:rsidRPr="00000000">
      <w:pPr>
        <w:numPr>
          <w:ilvl w:val="0"/>
          <w:numId w:val="1"/>
        </w:numPr>
        <w:tabs>
          <w:tab w:val="left" w:pos="360"/>
        </w:tabs>
        <w:ind w:left="283" w:hanging="283"/>
        <w:contextualSpacing w:val="0"/>
        <w:rPr>
          <w:sz w:val="20"/>
          <w:szCs w:val="20"/>
        </w:rPr>
      </w:pPr>
      <w:r w:rsidDel="00000000" w:rsidR="00000000" w:rsidRPr="00000000">
        <w:rPr>
          <w:sz w:val="20"/>
          <w:szCs w:val="20"/>
          <w:u w:val="single"/>
          <w:rtl w:val="0"/>
        </w:rPr>
        <w:t xml:space="preserve">‘Titelbeschrijvingen uit externe bronnen’</w:t>
      </w:r>
      <w:r w:rsidDel="00000000" w:rsidR="00000000" w:rsidRPr="00000000">
        <w:rPr>
          <w:sz w:val="20"/>
          <w:szCs w:val="20"/>
          <w:rtl w:val="0"/>
        </w:rPr>
        <w:t xml:space="preserve">: titelbeschrijvingen die ontstaan zijn in een externe bron en mits een licentieovereenkomst worden overgenomen in Open Vlacc en daar al dan niet bewerkt worden. </w:t>
      </w:r>
    </w:p>
    <w:p w:rsidR="00000000" w:rsidDel="00000000" w:rsidP="00000000" w:rsidRDefault="00000000" w:rsidRPr="00000000">
      <w:pPr>
        <w:numPr>
          <w:ilvl w:val="0"/>
          <w:numId w:val="1"/>
        </w:numPr>
        <w:tabs>
          <w:tab w:val="left" w:pos="360"/>
        </w:tabs>
        <w:ind w:left="283" w:hanging="283"/>
        <w:contextualSpacing w:val="0"/>
        <w:rPr>
          <w:sz w:val="20"/>
          <w:szCs w:val="20"/>
        </w:rPr>
      </w:pPr>
      <w:r w:rsidDel="00000000" w:rsidR="00000000" w:rsidRPr="00000000">
        <w:rPr>
          <w:sz w:val="20"/>
          <w:szCs w:val="20"/>
          <w:u w:val="single"/>
          <w:rtl w:val="0"/>
        </w:rPr>
        <w:t xml:space="preserve"> ‘Gebruiker’</w:t>
      </w:r>
      <w:r w:rsidDel="00000000" w:rsidR="00000000" w:rsidRPr="00000000">
        <w:rPr>
          <w:sz w:val="20"/>
          <w:szCs w:val="20"/>
          <w:rtl w:val="0"/>
        </w:rPr>
        <w:t xml:space="preserve">: elke instelling of rechtspersoon die data uit Open Vlacc overneemt en/of gebruikt in een eigen systeem of webomgeving.  Uitgezonderd zijn de openbare bibliotheken aangesloten bij een Provinciaal Bibliotheeksysteem of het Eengemaakte Bibliotheeksysteem, en de bibliotheken die invoerpartners zijn van Open Vlacc waarmee afzonderlijke gebruikersovereenkomsten werden opgesteld.</w:t>
      </w:r>
    </w:p>
    <w:p w:rsidR="00000000" w:rsidDel="00000000" w:rsidP="00000000" w:rsidRDefault="00000000" w:rsidRPr="00000000">
      <w:pPr>
        <w:tabs>
          <w:tab w:val="left" w:pos="360"/>
        </w:tabs>
        <w:contextualSpacing w:val="0"/>
        <w:rPr>
          <w:sz w:val="20"/>
          <w:szCs w:val="20"/>
        </w:rPr>
      </w:pPr>
      <w:r w:rsidDel="00000000" w:rsidR="00000000" w:rsidRPr="00000000">
        <w:rPr>
          <w:rtl w:val="0"/>
        </w:rPr>
      </w:r>
    </w:p>
    <w:p w:rsidR="00000000" w:rsidDel="00000000" w:rsidP="00000000" w:rsidRDefault="00000000" w:rsidRPr="00000000">
      <w:pPr>
        <w:numPr>
          <w:ilvl w:val="0"/>
          <w:numId w:val="2"/>
        </w:numPr>
        <w:tabs>
          <w:tab w:val="left" w:pos="792"/>
        </w:tabs>
        <w:ind w:left="360" w:hanging="360"/>
        <w:contextualSpacing w:val="0"/>
        <w:rPr>
          <w:sz w:val="20"/>
          <w:szCs w:val="20"/>
        </w:rPr>
      </w:pPr>
      <w:r w:rsidDel="00000000" w:rsidR="00000000" w:rsidRPr="00000000">
        <w:rPr>
          <w:sz w:val="20"/>
          <w:szCs w:val="20"/>
          <w:rtl w:val="0"/>
        </w:rPr>
        <w:t xml:space="preserve">Deze overeenkomst geldt voor elk gebruik van Open Vlacc titelbeschrijvingen door abonnees.</w:t>
      </w:r>
    </w:p>
    <w:p w:rsidR="00000000" w:rsidDel="00000000" w:rsidP="00000000" w:rsidRDefault="00000000" w:rsidRPr="00000000">
      <w:pPr>
        <w:tabs>
          <w:tab w:val="left" w:pos="360"/>
        </w:tabs>
        <w:contextualSpacing w:val="0"/>
        <w:rPr>
          <w:sz w:val="20"/>
          <w:szCs w:val="20"/>
        </w:rPr>
      </w:pPr>
      <w:r w:rsidDel="00000000" w:rsidR="00000000" w:rsidRPr="00000000">
        <w:rPr>
          <w:rtl w:val="0"/>
        </w:rPr>
      </w:r>
    </w:p>
    <w:p w:rsidR="00000000" w:rsidDel="00000000" w:rsidP="00000000" w:rsidRDefault="00000000" w:rsidRPr="00000000">
      <w:pPr>
        <w:numPr>
          <w:ilvl w:val="0"/>
          <w:numId w:val="2"/>
        </w:numPr>
        <w:ind w:left="360" w:hanging="360"/>
        <w:contextualSpacing w:val="0"/>
        <w:rPr>
          <w:sz w:val="20"/>
          <w:szCs w:val="20"/>
        </w:rPr>
      </w:pPr>
      <w:r w:rsidDel="00000000" w:rsidR="00000000" w:rsidRPr="00000000">
        <w:rPr>
          <w:sz w:val="20"/>
          <w:szCs w:val="20"/>
          <w:rtl w:val="0"/>
        </w:rPr>
        <w:t xml:space="preserve">Met deze overeenkomst verleent Cultuurconnect aan de Gebruiker het recht om Titelbeschrijvingen uit Open Vlacc over te nemen ten behoeve van het beheer en de exploitatie van de eigen collectie indien het gebruik aansluit bij de opdracht van de openbare of schoolbibliotheek.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numPr>
          <w:ilvl w:val="0"/>
          <w:numId w:val="2"/>
        </w:numPr>
        <w:ind w:left="360" w:hanging="360"/>
        <w:contextualSpacing w:val="0"/>
        <w:rPr>
          <w:sz w:val="20"/>
          <w:szCs w:val="20"/>
        </w:rPr>
      </w:pPr>
      <w:r w:rsidDel="00000000" w:rsidR="00000000" w:rsidRPr="00000000">
        <w:rPr>
          <w:sz w:val="20"/>
          <w:szCs w:val="20"/>
          <w:rtl w:val="0"/>
        </w:rPr>
        <w:t xml:space="preserve">Ter identificatie van de Open Vlacc Titelbeschrijvingen dient te allen tijde het Open Vlacc-nummer en de catalografische bronvermelding aanwezig te blijven in de lokale registratie of representatie van de Open Vlacc beschrijvingen.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numPr>
          <w:ilvl w:val="0"/>
          <w:numId w:val="2"/>
        </w:numPr>
        <w:ind w:left="360" w:hanging="360"/>
        <w:contextualSpacing w:val="0"/>
        <w:rPr>
          <w:sz w:val="20"/>
          <w:szCs w:val="20"/>
        </w:rPr>
      </w:pPr>
      <w:r w:rsidDel="00000000" w:rsidR="00000000" w:rsidRPr="00000000">
        <w:rPr>
          <w:sz w:val="20"/>
          <w:szCs w:val="20"/>
          <w:rtl w:val="0"/>
        </w:rPr>
        <w:t xml:space="preserve">In geen geval bevat deze overeenkomst een overdracht van vermogensrechten. Cultuurconnect verleent het gebruiksrecht op Open Vlacc Titelbeschrijvingen in de mate dat het zelf over het vermogensrecht of een licentie beschikt op de Titelbeschrijvingen.</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numPr>
          <w:ilvl w:val="0"/>
          <w:numId w:val="2"/>
        </w:numPr>
        <w:ind w:left="360" w:hanging="360"/>
        <w:contextualSpacing w:val="0"/>
        <w:rPr>
          <w:sz w:val="20"/>
          <w:szCs w:val="20"/>
        </w:rPr>
      </w:pPr>
      <w:r w:rsidDel="00000000" w:rsidR="00000000" w:rsidRPr="00000000">
        <w:rPr>
          <w:sz w:val="20"/>
          <w:szCs w:val="20"/>
          <w:rtl w:val="0"/>
        </w:rPr>
        <w:t xml:space="preserve">De Gebruiker mag aan de overgenomen Titelbeschrijvingen bezits- of plaatsingskenmerken toevoegen alsook alle informatie die noodzakelijk wordt geacht om de eigen collectie te ontsluiten en toegankelijk te maken.</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numPr>
          <w:ilvl w:val="0"/>
          <w:numId w:val="2"/>
        </w:numPr>
        <w:tabs>
          <w:tab w:val="left" w:pos="792"/>
        </w:tabs>
        <w:ind w:left="360" w:hanging="360"/>
        <w:contextualSpacing w:val="0"/>
        <w:rPr>
          <w:sz w:val="20"/>
          <w:szCs w:val="20"/>
        </w:rPr>
      </w:pPr>
      <w:r w:rsidDel="00000000" w:rsidR="00000000" w:rsidRPr="00000000">
        <w:rPr>
          <w:sz w:val="20"/>
          <w:szCs w:val="20"/>
          <w:rtl w:val="0"/>
        </w:rPr>
        <w:t xml:space="preserve">De Gebruiker mag in functie van het ontsluiten van de eigen collectie en het toegankelijk maken van diensten de overgenomen Titelbeschrijvingen (individueel of in groep) reproduceren en aan het publiek meedelen zowel op fysieke als op digitale dragers en zowel in een online als een offline omgeving.</w:t>
        <w:br w:type="textWrapping"/>
      </w:r>
    </w:p>
    <w:p w:rsidR="00000000" w:rsidDel="00000000" w:rsidP="00000000" w:rsidRDefault="00000000" w:rsidRPr="00000000">
      <w:pPr>
        <w:numPr>
          <w:ilvl w:val="0"/>
          <w:numId w:val="2"/>
        </w:numPr>
        <w:tabs>
          <w:tab w:val="left" w:pos="792"/>
        </w:tabs>
        <w:ind w:left="360" w:hanging="360"/>
        <w:contextualSpacing w:val="0"/>
        <w:rPr>
          <w:sz w:val="20"/>
          <w:szCs w:val="20"/>
          <w:u w:val="none"/>
        </w:rPr>
      </w:pPr>
      <w:r w:rsidDel="00000000" w:rsidR="00000000" w:rsidRPr="00000000">
        <w:rPr>
          <w:sz w:val="20"/>
          <w:szCs w:val="20"/>
          <w:rtl w:val="0"/>
        </w:rPr>
        <w:t xml:space="preserve">Deze gebruikersovereenkomst staat geen hergebruik van de data toe zoals voorzien in de wet op hergebruik van overheidsdata. Hergebruik van Open Vlacc en andere data wordt mogelijk gemaakt via een afzonderlijke regeling en kan aangevraagd worden via een het formulier op </w:t>
      </w:r>
      <w:hyperlink r:id="rId5">
        <w:r w:rsidDel="00000000" w:rsidR="00000000" w:rsidRPr="00000000">
          <w:rPr>
            <w:color w:val="1155cc"/>
            <w:sz w:val="20"/>
            <w:szCs w:val="20"/>
            <w:u w:val="single"/>
            <w:rtl w:val="0"/>
          </w:rPr>
          <w:t xml:space="preserve">http://www.cultuurconnect.be/diensten/bibliotheekportalen/api</w:t>
        </w:r>
      </w:hyperlink>
      <w:r w:rsidDel="00000000" w:rsidR="00000000" w:rsidRPr="00000000">
        <w:rPr>
          <w:sz w:val="20"/>
          <w:szCs w:val="20"/>
          <w:rtl w:val="0"/>
        </w:rPr>
        <w:t xml:space="preserve"> </w:t>
      </w:r>
    </w:p>
    <w:p w:rsidR="00000000" w:rsidDel="00000000" w:rsidP="00000000" w:rsidRDefault="00000000" w:rsidRPr="00000000">
      <w:pPr>
        <w:tabs>
          <w:tab w:val="left" w:pos="792"/>
        </w:tabs>
        <w:contextualSpacing w:val="0"/>
        <w:rPr>
          <w:sz w:val="20"/>
          <w:szCs w:val="20"/>
        </w:rPr>
      </w:pPr>
      <w:r w:rsidDel="00000000" w:rsidR="00000000" w:rsidRPr="00000000">
        <w:rPr>
          <w:rtl w:val="0"/>
        </w:rPr>
      </w:r>
    </w:p>
    <w:p w:rsidR="00000000" w:rsidDel="00000000" w:rsidP="00000000" w:rsidRDefault="00000000" w:rsidRPr="00000000">
      <w:pPr>
        <w:numPr>
          <w:ilvl w:val="0"/>
          <w:numId w:val="2"/>
        </w:numPr>
        <w:tabs>
          <w:tab w:val="left" w:pos="792"/>
        </w:tabs>
        <w:ind w:left="360" w:hanging="360"/>
        <w:contextualSpacing w:val="0"/>
        <w:rPr>
          <w:sz w:val="20"/>
          <w:szCs w:val="20"/>
        </w:rPr>
      </w:pPr>
      <w:r w:rsidDel="00000000" w:rsidR="00000000" w:rsidRPr="00000000">
        <w:rPr>
          <w:sz w:val="20"/>
          <w:szCs w:val="20"/>
          <w:rtl w:val="0"/>
        </w:rPr>
        <w:t xml:space="preserve">Bepalingen per bron:</w:t>
      </w:r>
    </w:p>
    <w:p w:rsidR="00000000" w:rsidDel="00000000" w:rsidP="00000000" w:rsidRDefault="00000000" w:rsidRPr="00000000">
      <w:pPr>
        <w:numPr>
          <w:ilvl w:val="1"/>
          <w:numId w:val="2"/>
        </w:numPr>
        <w:ind w:left="1080" w:hanging="360"/>
        <w:contextualSpacing w:val="0"/>
        <w:rPr>
          <w:sz w:val="20"/>
          <w:szCs w:val="20"/>
        </w:rPr>
      </w:pPr>
      <w:r w:rsidDel="00000000" w:rsidR="00000000" w:rsidRPr="00000000">
        <w:rPr>
          <w:sz w:val="20"/>
          <w:szCs w:val="20"/>
          <w:rtl w:val="0"/>
        </w:rPr>
        <w:t xml:space="preserve">Titelbeschrijvingen die ontstaan zijn in Open Vlacc kunnen onbeperkt overgenomen worden en de Titelbeschrijvingen mogen deel uitmaken van een samenwerking met derden mits deze aansluit bij de opdracht van de bibliotheek en mits de samenwerkingsovereenkomst volgende bepaling opneemt: “De partij (derde) is ermee bekend dat op het geheel of een gedeelte van de gegevens waarop deze overeenkomst betrekking heeft auteurs en databankrechten berusten die hetzij rechtstreeks, hetzij via licentieovereenkomst, toebehoren aan Cultuurconnect.  De partij (derde) is verplicht deze rechten te respecteren”.  </w:t>
      </w:r>
    </w:p>
    <w:p w:rsidR="00000000" w:rsidDel="00000000" w:rsidP="00000000" w:rsidRDefault="00000000" w:rsidRPr="00000000">
      <w:pPr>
        <w:numPr>
          <w:ilvl w:val="1"/>
          <w:numId w:val="2"/>
        </w:numPr>
        <w:ind w:left="1080" w:hanging="360"/>
        <w:contextualSpacing w:val="0"/>
        <w:rPr>
          <w:sz w:val="20"/>
          <w:szCs w:val="20"/>
        </w:rPr>
      </w:pPr>
      <w:r w:rsidDel="00000000" w:rsidR="00000000" w:rsidRPr="00000000">
        <w:rPr>
          <w:sz w:val="20"/>
          <w:szCs w:val="20"/>
          <w:rtl w:val="0"/>
        </w:rPr>
        <w:t xml:space="preserve">Titelbeschrijvingen die ontstaan zijn in de externe bron CDR mogen door Gebruikers enkel op record-per-record basis worden overgenomen, zolang de betreffende titel tot hun collectie behoort. Titelbeschrijvingen uit externe bronnen mogen niet overgenomen worden, op welke wijze ook, door Gebruikers die geen openbare bibliotheek zijn, behoudens uitdrukkelijke toestemming van Cultuurconnect. </w:t>
      </w:r>
    </w:p>
    <w:p w:rsidR="00000000" w:rsidDel="00000000" w:rsidP="00000000" w:rsidRDefault="00000000" w:rsidRPr="00000000">
      <w:pPr>
        <w:ind w:left="720" w:firstLine="0"/>
        <w:contextualSpacing w:val="0"/>
        <w:rPr>
          <w:sz w:val="20"/>
          <w:szCs w:val="20"/>
        </w:rPr>
      </w:pPr>
      <w:r w:rsidDel="00000000" w:rsidR="00000000" w:rsidRPr="00000000">
        <w:rPr>
          <w:rtl w:val="0"/>
        </w:rPr>
      </w:r>
    </w:p>
    <w:p w:rsidR="00000000" w:rsidDel="00000000" w:rsidP="00000000" w:rsidRDefault="00000000" w:rsidRPr="00000000">
      <w:pPr>
        <w:numPr>
          <w:ilvl w:val="0"/>
          <w:numId w:val="2"/>
        </w:numPr>
        <w:tabs>
          <w:tab w:val="left" w:pos="792"/>
        </w:tabs>
        <w:ind w:left="360" w:hanging="360"/>
        <w:contextualSpacing w:val="0"/>
        <w:rPr>
          <w:sz w:val="20"/>
          <w:szCs w:val="20"/>
        </w:rPr>
      </w:pPr>
      <w:r w:rsidDel="00000000" w:rsidR="00000000" w:rsidRPr="00000000">
        <w:rPr>
          <w:sz w:val="20"/>
          <w:szCs w:val="20"/>
          <w:rtl w:val="0"/>
        </w:rPr>
        <w:t xml:space="preserve">De Gebruiker mag de Titelbeschrijvingen niet verkopen, verhuren of in leasing geven.</w:t>
      </w:r>
    </w:p>
    <w:p w:rsidR="00000000" w:rsidDel="00000000" w:rsidP="00000000" w:rsidRDefault="00000000" w:rsidRPr="00000000">
      <w:pPr>
        <w:tabs>
          <w:tab w:val="left" w:pos="792"/>
        </w:tabs>
        <w:contextualSpacing w:val="0"/>
        <w:rPr>
          <w:sz w:val="20"/>
          <w:szCs w:val="20"/>
        </w:rPr>
      </w:pPr>
      <w:r w:rsidDel="00000000" w:rsidR="00000000" w:rsidRPr="00000000">
        <w:rPr>
          <w:rtl w:val="0"/>
        </w:rPr>
      </w:r>
    </w:p>
    <w:p w:rsidR="00000000" w:rsidDel="00000000" w:rsidP="00000000" w:rsidRDefault="00000000" w:rsidRPr="00000000">
      <w:pPr>
        <w:numPr>
          <w:ilvl w:val="0"/>
          <w:numId w:val="2"/>
        </w:numPr>
        <w:tabs>
          <w:tab w:val="left" w:pos="792"/>
        </w:tabs>
        <w:ind w:left="360" w:hanging="360"/>
        <w:contextualSpacing w:val="0"/>
        <w:rPr>
          <w:sz w:val="20"/>
          <w:szCs w:val="20"/>
        </w:rPr>
      </w:pPr>
      <w:r w:rsidDel="00000000" w:rsidR="00000000" w:rsidRPr="00000000">
        <w:rPr>
          <w:sz w:val="20"/>
          <w:szCs w:val="20"/>
          <w:rtl w:val="0"/>
        </w:rPr>
        <w:t xml:space="preserve">De Gebruiker draagt er naar best vermogen zorg voor dat de Titelbeschrijvingen, buiten de in deze overeenkomst vermelde toegestane gebruiksdoeleinden, niet kunnen worden opgevraagd of hergebruikt door derden en dat de databestanden slechts toegankelijk zijn voor degenen die deze om operationele redenen nodig hebben in functie van de opdracht van de bibliotheek.</w:t>
      </w:r>
    </w:p>
    <w:p w:rsidR="00000000" w:rsidDel="00000000" w:rsidP="00000000" w:rsidRDefault="00000000" w:rsidRPr="00000000">
      <w:pPr>
        <w:tabs>
          <w:tab w:val="left" w:pos="792"/>
        </w:tabs>
        <w:contextualSpacing w:val="0"/>
        <w:rPr>
          <w:sz w:val="20"/>
          <w:szCs w:val="20"/>
        </w:rPr>
      </w:pPr>
      <w:r w:rsidDel="00000000" w:rsidR="00000000" w:rsidRPr="00000000">
        <w:rPr>
          <w:rtl w:val="0"/>
        </w:rPr>
      </w:r>
    </w:p>
    <w:p w:rsidR="00000000" w:rsidDel="00000000" w:rsidP="00000000" w:rsidRDefault="00000000" w:rsidRPr="00000000">
      <w:pPr>
        <w:numPr>
          <w:ilvl w:val="0"/>
          <w:numId w:val="2"/>
        </w:numPr>
        <w:tabs>
          <w:tab w:val="left" w:pos="792"/>
        </w:tabs>
        <w:ind w:left="360" w:hanging="360"/>
        <w:contextualSpacing w:val="0"/>
        <w:rPr>
          <w:sz w:val="20"/>
          <w:szCs w:val="20"/>
        </w:rPr>
      </w:pPr>
      <w:r w:rsidDel="00000000" w:rsidR="00000000" w:rsidRPr="00000000">
        <w:rPr>
          <w:sz w:val="20"/>
          <w:szCs w:val="20"/>
          <w:rtl w:val="0"/>
        </w:rPr>
        <w:t xml:space="preserve">De rechten en de toegangscode (gebruikersnaam en paswoord) tot de Open Vlacc databank zijn gebonden aan de instelling en niet overdraagbaar aan derden.</w:t>
      </w:r>
    </w:p>
    <w:p w:rsidR="00000000" w:rsidDel="00000000" w:rsidP="00000000" w:rsidRDefault="00000000" w:rsidRPr="00000000">
      <w:pPr>
        <w:tabs>
          <w:tab w:val="left" w:pos="792"/>
        </w:tabs>
        <w:contextualSpacing w:val="0"/>
        <w:rPr>
          <w:sz w:val="20"/>
          <w:szCs w:val="20"/>
        </w:rPr>
      </w:pPr>
      <w:r w:rsidDel="00000000" w:rsidR="00000000" w:rsidRPr="00000000">
        <w:rPr>
          <w:rtl w:val="0"/>
        </w:rPr>
      </w:r>
    </w:p>
    <w:p w:rsidR="00000000" w:rsidDel="00000000" w:rsidP="00000000" w:rsidRDefault="00000000" w:rsidRPr="00000000">
      <w:pPr>
        <w:numPr>
          <w:ilvl w:val="0"/>
          <w:numId w:val="2"/>
        </w:numPr>
        <w:tabs>
          <w:tab w:val="left" w:pos="792"/>
        </w:tabs>
        <w:ind w:left="360" w:hanging="360"/>
        <w:contextualSpacing w:val="0"/>
        <w:rPr>
          <w:sz w:val="20"/>
          <w:szCs w:val="20"/>
        </w:rPr>
      </w:pPr>
      <w:r w:rsidDel="00000000" w:rsidR="00000000" w:rsidRPr="00000000">
        <w:rPr>
          <w:sz w:val="20"/>
          <w:szCs w:val="20"/>
          <w:rtl w:val="0"/>
        </w:rPr>
        <w:t xml:space="preserve">Indien de Gebruiker merkt dat derden inbreuk maken op de gebruiksrechten is de Gebruiker verplicht dit onmiddellijk aan Cultuurconnect mede te delen.</w:t>
      </w:r>
    </w:p>
    <w:p w:rsidR="00000000" w:rsidDel="00000000" w:rsidP="00000000" w:rsidRDefault="00000000" w:rsidRPr="00000000">
      <w:pPr>
        <w:tabs>
          <w:tab w:val="left" w:pos="792"/>
        </w:tabs>
        <w:contextualSpacing w:val="0"/>
        <w:rPr>
          <w:sz w:val="20"/>
          <w:szCs w:val="20"/>
        </w:rPr>
      </w:pPr>
      <w:r w:rsidDel="00000000" w:rsidR="00000000" w:rsidRPr="00000000">
        <w:rPr>
          <w:rtl w:val="0"/>
        </w:rPr>
      </w:r>
    </w:p>
    <w:p w:rsidR="00000000" w:rsidDel="00000000" w:rsidP="00000000" w:rsidRDefault="00000000" w:rsidRPr="00000000">
      <w:pPr>
        <w:numPr>
          <w:ilvl w:val="0"/>
          <w:numId w:val="2"/>
        </w:numPr>
        <w:tabs>
          <w:tab w:val="left" w:pos="792"/>
        </w:tabs>
        <w:ind w:left="360" w:hanging="360"/>
        <w:contextualSpacing w:val="0"/>
        <w:rPr>
          <w:sz w:val="20"/>
          <w:szCs w:val="20"/>
        </w:rPr>
      </w:pPr>
      <w:r w:rsidDel="00000000" w:rsidR="00000000" w:rsidRPr="00000000">
        <w:rPr>
          <w:sz w:val="20"/>
          <w:szCs w:val="20"/>
          <w:rtl w:val="0"/>
        </w:rPr>
        <w:t xml:space="preserve">Inbreuken van de Gebruiker op de gebruiksrechten hebben een onmiddellijke uitsluiting tot gevolg, zonder dat daartoe een ingebrekestelling vereist is, en zonder rechterlijke tussenkomst, onverminderd het recht van Cultuurconnect en rechthebbenden op vergoeding van de door haar geleden schade of door haar opgelopen boetes.</w:t>
      </w:r>
    </w:p>
    <w:p w:rsidR="00000000" w:rsidDel="00000000" w:rsidP="00000000" w:rsidRDefault="00000000" w:rsidRPr="00000000">
      <w:pPr>
        <w:tabs>
          <w:tab w:val="left" w:pos="792"/>
        </w:tabs>
        <w:contextualSpacing w:val="0"/>
        <w:rPr>
          <w:sz w:val="20"/>
          <w:szCs w:val="20"/>
        </w:rPr>
      </w:pPr>
      <w:r w:rsidDel="00000000" w:rsidR="00000000" w:rsidRPr="00000000">
        <w:rPr>
          <w:rtl w:val="0"/>
        </w:rPr>
      </w:r>
    </w:p>
    <w:p w:rsidR="00000000" w:rsidDel="00000000" w:rsidP="00000000" w:rsidRDefault="00000000" w:rsidRPr="00000000">
      <w:pPr>
        <w:numPr>
          <w:ilvl w:val="0"/>
          <w:numId w:val="2"/>
        </w:numPr>
        <w:tabs>
          <w:tab w:val="left" w:pos="792"/>
        </w:tabs>
        <w:ind w:left="360" w:hanging="360"/>
        <w:contextualSpacing w:val="0"/>
        <w:rPr>
          <w:sz w:val="20"/>
          <w:szCs w:val="20"/>
        </w:rPr>
      </w:pPr>
      <w:r w:rsidDel="00000000" w:rsidR="00000000" w:rsidRPr="00000000">
        <w:rPr>
          <w:sz w:val="20"/>
          <w:szCs w:val="20"/>
          <w:rtl w:val="0"/>
        </w:rPr>
        <w:t xml:space="preserve">Alle geschillen welke mochten ontstaan naar aanleiding van de onderhavige overeenkomst behoren tot de exclusieve bevoegdheid van de Rechtbanken van het gerechtelijk arrondissement Brussel.</w:t>
      </w:r>
    </w:p>
    <w:p w:rsidR="00000000" w:rsidDel="00000000" w:rsidP="00000000" w:rsidRDefault="00000000" w:rsidRPr="00000000">
      <w:pPr>
        <w:tabs>
          <w:tab w:val="left" w:pos="792"/>
        </w:tabs>
        <w:contextualSpacing w:val="0"/>
        <w:rPr>
          <w:sz w:val="20"/>
          <w:szCs w:val="20"/>
        </w:rPr>
      </w:pPr>
      <w:r w:rsidDel="00000000" w:rsidR="00000000" w:rsidRPr="00000000">
        <w:rPr>
          <w:rtl w:val="0"/>
        </w:rPr>
      </w:r>
    </w:p>
    <w:p w:rsidR="00000000" w:rsidDel="00000000" w:rsidP="00000000" w:rsidRDefault="00000000" w:rsidRPr="00000000">
      <w:pPr>
        <w:numPr>
          <w:ilvl w:val="0"/>
          <w:numId w:val="2"/>
        </w:numPr>
        <w:tabs>
          <w:tab w:val="left" w:pos="792"/>
        </w:tabs>
        <w:ind w:left="360" w:hanging="360"/>
        <w:contextualSpacing w:val="0"/>
        <w:rPr>
          <w:sz w:val="20"/>
          <w:szCs w:val="20"/>
        </w:rPr>
      </w:pPr>
      <w:r w:rsidDel="00000000" w:rsidR="00000000" w:rsidRPr="00000000">
        <w:rPr>
          <w:sz w:val="20"/>
          <w:szCs w:val="20"/>
          <w:rtl w:val="0"/>
        </w:rPr>
        <w:t xml:space="preserve">Het abonnementsgeld wordt aangerekend om de kosten voor de ter beschikking stelling en voor de aangekochte data mee te helpen dragen.  De tarifiëring is in functie van het verwachtte volume van afname.</w:t>
      </w:r>
    </w:p>
    <w:p w:rsidR="00000000" w:rsidDel="00000000" w:rsidP="00000000" w:rsidRDefault="00000000" w:rsidRPr="00000000">
      <w:pPr>
        <w:tabs>
          <w:tab w:val="left" w:pos="792"/>
        </w:tabs>
        <w:contextualSpacing w:val="0"/>
        <w:rPr>
          <w:sz w:val="20"/>
          <w:szCs w:val="20"/>
        </w:rPr>
      </w:pPr>
      <w:r w:rsidDel="00000000" w:rsidR="00000000" w:rsidRPr="00000000">
        <w:rPr>
          <w:rtl w:val="0"/>
        </w:rPr>
      </w:r>
    </w:p>
    <w:p w:rsidR="00000000" w:rsidDel="00000000" w:rsidP="00000000" w:rsidRDefault="00000000" w:rsidRPr="00000000">
      <w:pPr>
        <w:numPr>
          <w:ilvl w:val="0"/>
          <w:numId w:val="2"/>
        </w:numPr>
        <w:tabs>
          <w:tab w:val="left" w:pos="360"/>
          <w:tab w:val="left" w:pos="792"/>
        </w:tabs>
        <w:ind w:left="360" w:hanging="360"/>
        <w:contextualSpacing w:val="0"/>
        <w:rPr>
          <w:sz w:val="20"/>
          <w:szCs w:val="20"/>
        </w:rPr>
      </w:pPr>
      <w:r w:rsidDel="00000000" w:rsidR="00000000" w:rsidRPr="00000000">
        <w:rPr>
          <w:sz w:val="20"/>
          <w:szCs w:val="20"/>
          <w:rtl w:val="0"/>
        </w:rPr>
        <w:t xml:space="preserve">Betaling van het abonnementsgeld, impliceert akkoordverklaring met deze gebruiksvoorwaarden.  </w:t>
      </w:r>
    </w:p>
    <w:p w:rsidR="00000000" w:rsidDel="00000000" w:rsidP="00000000" w:rsidRDefault="00000000" w:rsidRPr="00000000">
      <w:pPr>
        <w:tabs>
          <w:tab w:val="left" w:pos="792"/>
        </w:tabs>
        <w:contextualSpacing w:val="0"/>
        <w:rPr>
          <w:sz w:val="20"/>
          <w:szCs w:val="20"/>
        </w:rPr>
      </w:pPr>
      <w:r w:rsidDel="00000000" w:rsidR="00000000" w:rsidRPr="00000000">
        <w:rPr>
          <w:rtl w:val="0"/>
        </w:rPr>
      </w:r>
    </w:p>
    <w:p w:rsidR="00000000" w:rsidDel="00000000" w:rsidP="00000000" w:rsidRDefault="00000000" w:rsidRPr="00000000">
      <w:pPr>
        <w:numPr>
          <w:ilvl w:val="0"/>
          <w:numId w:val="2"/>
        </w:numPr>
        <w:tabs>
          <w:tab w:val="left" w:pos="360"/>
          <w:tab w:val="left" w:pos="792"/>
        </w:tabs>
        <w:ind w:left="360" w:hanging="360"/>
        <w:contextualSpacing w:val="0"/>
        <w:rPr>
          <w:sz w:val="20"/>
          <w:szCs w:val="20"/>
        </w:rPr>
      </w:pPr>
      <w:r w:rsidDel="00000000" w:rsidR="00000000" w:rsidRPr="00000000">
        <w:rPr>
          <w:sz w:val="20"/>
          <w:szCs w:val="20"/>
          <w:rtl w:val="0"/>
        </w:rPr>
        <w:t xml:space="preserve">Prijs per jaar: </w:t>
      </w:r>
    </w:p>
    <w:tbl>
      <w:tblPr>
        <w:tblStyle w:val="Table1"/>
        <w:tblW w:w="7091.0" w:type="dxa"/>
        <w:jc w:val="left"/>
        <w:tblInd w:w="-45.0" w:type="dxa"/>
        <w:tblBorders>
          <w:top w:color="000000" w:space="0" w:sz="8" w:val="dashed"/>
          <w:left w:color="000000" w:space="0" w:sz="8" w:val="dashed"/>
          <w:bottom w:color="000000" w:space="0" w:sz="8" w:val="dashed"/>
          <w:right w:color="000000" w:space="0" w:sz="8" w:val="dashed"/>
        </w:tblBorders>
        <w:tblLayout w:type="fixed"/>
        <w:tblLook w:val="0000"/>
      </w:tblPr>
      <w:tblGrid>
        <w:gridCol w:w="5670"/>
        <w:gridCol w:w="1421"/>
        <w:tblGridChange w:id="0">
          <w:tblGrid>
            <w:gridCol w:w="5670"/>
            <w:gridCol w:w="1421"/>
          </w:tblGrid>
        </w:tblGridChange>
      </w:tblGrid>
      <w:tr>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 Jaarprijzen in EUR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2013</w:t>
            </w:r>
          </w:p>
        </w:tc>
      </w:tr>
      <w:tr>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 OB met werkgebied van minder dan 10.000 inwoners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200</w:t>
            </w:r>
          </w:p>
        </w:tc>
      </w:tr>
      <w:tr>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 OB met werkgebied 10.000 tot 20.000 inwoners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300</w:t>
            </w:r>
          </w:p>
        </w:tc>
      </w:tr>
      <w:tr>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 OB met werkgebied 20.000 tot 50.000 inwoners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400</w:t>
            </w:r>
          </w:p>
        </w:tc>
      </w:tr>
      <w:t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 OB met werkgebied 50.000 en meer inwoners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500</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 Schoolbibs, speciale bibs, particulieren en non-profit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200</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 Hoge scholen, universiteiten en non-profit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300</w:t>
            </w:r>
          </w:p>
        </w:tc>
      </w:tr>
    </w:tbl>
    <w:p w:rsidR="00000000" w:rsidDel="00000000" w:rsidP="00000000" w:rsidRDefault="00000000" w:rsidRPr="00000000">
      <w:pPr>
        <w:tabs>
          <w:tab w:val="left" w:pos="360"/>
          <w:tab w:val="left" w:pos="792"/>
        </w:tabs>
        <w:contextualSpacing w:val="0"/>
        <w:rPr>
          <w:sz w:val="20"/>
          <w:szCs w:val="20"/>
        </w:rPr>
      </w:pPr>
      <w:r w:rsidDel="00000000" w:rsidR="00000000" w:rsidRPr="00000000">
        <w:rPr>
          <w:rtl w:val="0"/>
        </w:rPr>
      </w:r>
    </w:p>
    <w:p w:rsidR="00000000" w:rsidDel="00000000" w:rsidP="00000000" w:rsidRDefault="00000000" w:rsidRPr="00000000">
      <w:pPr>
        <w:tabs>
          <w:tab w:val="left" w:pos="360"/>
          <w:tab w:val="left" w:pos="792"/>
        </w:tabs>
        <w:contextualSpacing w:val="0"/>
        <w:rPr>
          <w:sz w:val="20"/>
          <w:szCs w:val="20"/>
        </w:rPr>
      </w:pPr>
      <w:r w:rsidDel="00000000" w:rsidR="00000000" w:rsidRPr="00000000">
        <w:rPr>
          <w:rtl w:val="0"/>
        </w:rPr>
      </w:r>
    </w:p>
    <w:p w:rsidR="00000000" w:rsidDel="00000000" w:rsidP="00000000" w:rsidRDefault="00000000" w:rsidRPr="00000000">
      <w:pPr>
        <w:tabs>
          <w:tab w:val="left" w:pos="360"/>
          <w:tab w:val="left" w:pos="792"/>
        </w:tabs>
        <w:contextualSpacing w:val="0"/>
        <w:rPr>
          <w:sz w:val="20"/>
          <w:szCs w:val="2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Naam organisatie : ………………………………………………………………………………………………</w:t>
      </w:r>
    </w:p>
    <w:p w:rsidR="00000000" w:rsidDel="00000000" w:rsidP="00000000" w:rsidRDefault="00000000" w:rsidRPr="00000000">
      <w:pPr>
        <w:contextualSpacing w:val="0"/>
        <w:rPr/>
      </w:pPr>
      <w:r w:rsidDel="00000000" w:rsidR="00000000" w:rsidRPr="00000000">
        <w:rPr>
          <w:rtl w:val="0"/>
        </w:rPr>
        <w:t xml:space="preserve">Naam contactpersoon : ……………………………………………………………………………………….</w:t>
      </w:r>
    </w:p>
    <w:p w:rsidR="00000000" w:rsidDel="00000000" w:rsidP="00000000" w:rsidRDefault="00000000" w:rsidRPr="00000000">
      <w:pPr>
        <w:contextualSpacing w:val="0"/>
        <w:rPr/>
      </w:pPr>
      <w:r w:rsidDel="00000000" w:rsidR="00000000" w:rsidRPr="00000000">
        <w:rPr>
          <w:rtl w:val="0"/>
        </w:rPr>
        <w:t xml:space="preserve">Adres : …………………………………………………………………………………………………………………..</w:t>
      </w:r>
    </w:p>
    <w:p w:rsidR="00000000" w:rsidDel="00000000" w:rsidP="00000000" w:rsidRDefault="00000000" w:rsidRPr="00000000">
      <w:pPr>
        <w:contextualSpacing w:val="0"/>
        <w:rPr/>
      </w:pPr>
      <w:r w:rsidDel="00000000" w:rsidR="00000000" w:rsidRPr="00000000">
        <w:rPr>
          <w:rtl w:val="0"/>
        </w:rPr>
        <w:t xml:space="preserve">Tel. : ………………………………………………………………………………………………………………………</w:t>
      </w:r>
    </w:p>
    <w:p w:rsidR="00000000" w:rsidDel="00000000" w:rsidP="00000000" w:rsidRDefault="00000000" w:rsidRPr="00000000">
      <w:pPr>
        <w:contextualSpacing w:val="0"/>
        <w:rPr/>
      </w:pPr>
      <w:r w:rsidDel="00000000" w:rsidR="00000000" w:rsidRPr="00000000">
        <w:rPr>
          <w:rtl w:val="0"/>
        </w:rPr>
        <w:t xml:space="preserve">Mailadres :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Datum :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Handtekening verantwoordelijke</w:t>
      </w:r>
    </w:p>
    <w:sectPr>
      <w:headerReference r:id="rId6" w:type="default"/>
      <w:headerReference r:id="rId7" w:type="first"/>
      <w:headerReference r:id="rId8" w:type="even"/>
      <w:footerReference r:id="rId9" w:type="default"/>
      <w:footerReference r:id="rId10" w:type="first"/>
      <w:footerReference r:id="rId11" w:type="even"/>
      <w:pgSz w:h="16838" w:w="11899"/>
      <w:pgMar w:bottom="1440" w:top="1702" w:left="1800" w:right="180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ind w:left="0" w:right="360" w:firstLine="0"/>
      <w:contextualSpacing w:val="0"/>
      <w:jc w:val="left"/>
      <w:rPr>
        <w:rFonts w:ascii="Source Sans Pro" w:cs="Source Sans Pro" w:eastAsia="Source Sans Pro" w:hAnsi="Source Sans Pro"/>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Gebruikersovereenkomst_OpenVlacc_</w:t>
    </w:r>
    <w:r w:rsidDel="00000000" w:rsidR="00000000" w:rsidRPr="00000000">
      <w:rPr>
        <w:sz w:val="20"/>
        <w:szCs w:val="20"/>
        <w:rtl w:val="0"/>
      </w:rPr>
      <w:t xml:space="preserve">2017</w:t>
      <w:tab/>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ab/>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 |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ind w:left="0" w:right="360" w:firstLine="0"/>
      <w:contextualSpacing w:val="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300"/>
        <w:tab w:val="right" w:pos="8299"/>
      </w:tabs>
      <w:spacing w:after="0" w:before="708" w:line="240" w:lineRule="auto"/>
      <w:ind w:left="0" w:right="0" w:firstLine="0"/>
      <w:contextualSpacing w:val="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ab/>
      <w:t xml:space="preserve">Gebruikersovereenkomst Open Vlacc</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1300"/>
        <w:tab w:val="right" w:pos="8299"/>
      </w:tabs>
      <w:spacing w:before="708" w:lineRule="auto"/>
      <w:contextualSpacing w:val="0"/>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sz w:val="20"/>
        <w:szCs w:val="20"/>
      </w:rPr>
      <w:drawing>
        <wp:inline distB="114300" distT="114300" distL="114300" distR="114300">
          <wp:extent cx="5029200" cy="409575"/>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029200" cy="40957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08" w:line="240" w:lineRule="auto"/>
      <w:ind w:left="0" w:right="0" w:firstLine="0"/>
      <w:contextualSpacing w:val="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83" w:hanging="283"/>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Source Sans Pro" w:cs="Source Sans Pro" w:eastAsia="Source Sans Pro" w:hAnsi="Source Sans Pro"/>
        <w:b w:val="0"/>
        <w:i w:val="0"/>
        <w:smallCaps w:val="0"/>
        <w:strike w:val="0"/>
        <w:color w:val="000000"/>
        <w:sz w:val="22"/>
        <w:szCs w:val="22"/>
        <w:u w:val="none"/>
        <w:shd w:fill="auto" w:val="clear"/>
        <w:vertAlign w:val="baseline"/>
        <w:lang w:val="nl-B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ind w:left="432" w:hanging="432"/>
      <w:contextualSpacing w:val="0"/>
    </w:pPr>
    <w:rPr>
      <w:rFonts w:ascii="Source Sans Pro" w:cs="Source Sans Pro" w:eastAsia="Source Sans Pro" w:hAnsi="Source Sans Pro"/>
      <w:color w:val="666666"/>
      <w:sz w:val="36"/>
      <w:szCs w:val="36"/>
    </w:rPr>
  </w:style>
  <w:style w:type="paragraph" w:styleId="Heading2">
    <w:name w:val="heading 2"/>
    <w:basedOn w:val="Normal"/>
    <w:next w:val="Normal"/>
    <w:pPr>
      <w:keepNext w:val="1"/>
      <w:keepLines w:val="1"/>
      <w:spacing w:after="240" w:before="200" w:lineRule="auto"/>
      <w:ind w:left="576" w:hanging="576"/>
      <w:contextualSpacing w:val="0"/>
    </w:pPr>
    <w:rPr>
      <w:b w:val="1"/>
      <w:color w:val="666666"/>
      <w:sz w:val="28"/>
      <w:szCs w:val="28"/>
    </w:rPr>
  </w:style>
  <w:style w:type="paragraph" w:styleId="Heading3">
    <w:name w:val="heading 3"/>
    <w:basedOn w:val="Normal"/>
    <w:next w:val="Normal"/>
    <w:pPr>
      <w:keepNext w:val="1"/>
      <w:keepLines w:val="1"/>
      <w:spacing w:after="200" w:before="200" w:lineRule="auto"/>
      <w:ind w:left="720" w:hanging="720"/>
      <w:contextualSpacing w:val="0"/>
    </w:pPr>
    <w:rPr>
      <w:b w:val="1"/>
      <w:color w:val="666666"/>
    </w:rPr>
  </w:style>
  <w:style w:type="paragraph" w:styleId="Heading4">
    <w:name w:val="heading 4"/>
    <w:basedOn w:val="Normal"/>
    <w:next w:val="Normal"/>
    <w:pPr>
      <w:keepNext w:val="1"/>
      <w:spacing w:after="60" w:before="240" w:lineRule="auto"/>
      <w:ind w:left="864" w:hanging="864"/>
      <w:contextualSpacing w:val="0"/>
    </w:pPr>
    <w:rPr>
      <w:rFonts w:ascii="Cambria" w:cs="Cambria" w:eastAsia="Cambria" w:hAnsi="Cambria"/>
      <w:b w:val="1"/>
      <w:sz w:val="28"/>
      <w:szCs w:val="28"/>
    </w:rPr>
  </w:style>
  <w:style w:type="paragraph" w:styleId="Heading5">
    <w:name w:val="heading 5"/>
    <w:basedOn w:val="Normal"/>
    <w:next w:val="Normal"/>
    <w:pPr>
      <w:spacing w:after="60" w:before="240" w:lineRule="auto"/>
      <w:ind w:left="1008" w:hanging="1008"/>
      <w:contextualSpacing w:val="0"/>
    </w:pPr>
    <w:rPr>
      <w:rFonts w:ascii="Cambria" w:cs="Cambria" w:eastAsia="Cambria" w:hAnsi="Cambria"/>
      <w:b w:val="1"/>
      <w:i w:val="1"/>
      <w:sz w:val="26"/>
      <w:szCs w:val="26"/>
    </w:rPr>
  </w:style>
  <w:style w:type="paragraph" w:styleId="Heading6">
    <w:name w:val="heading 6"/>
    <w:basedOn w:val="Normal"/>
    <w:next w:val="Normal"/>
    <w:pPr>
      <w:spacing w:after="60" w:before="240" w:lineRule="auto"/>
      <w:ind w:left="1152" w:hanging="1152"/>
      <w:contextualSpacing w:val="0"/>
    </w:pPr>
    <w:rPr>
      <w:rFonts w:ascii="Cambria" w:cs="Cambria" w:eastAsia="Cambria" w:hAnsi="Cambria"/>
      <w:b w:val="1"/>
    </w:rPr>
  </w:style>
  <w:style w:type="paragraph" w:styleId="Title">
    <w:name w:val="Title"/>
    <w:basedOn w:val="Normal"/>
    <w:next w:val="Normal"/>
    <w:pPr>
      <w:pBdr>
        <w:bottom w:color="666666" w:space="1" w:sz="18" w:val="single"/>
      </w:pBdr>
      <w:spacing w:after="60" w:before="240" w:lineRule="auto"/>
    </w:pPr>
    <w:rPr>
      <w:rFonts w:ascii="Source Sans Pro" w:cs="Source Sans Pro" w:eastAsia="Source Sans Pro" w:hAnsi="Source Sans Pro"/>
      <w:b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5.0" w:type="dxa"/>
        <w:bottom w:w="0.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hyperlink" Target="http://www.cultuurconnect.be/diensten/bibliotheekportalen/api"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